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C7D7" w14:textId="5C12B623" w:rsidR="00191C4C" w:rsidRPr="00191C4C" w:rsidRDefault="00191C4C" w:rsidP="00ED4AC1">
      <w:pPr>
        <w:rPr>
          <w:rFonts w:ascii="Constantia" w:eastAsia="Times New Roman" w:hAnsi="Constantia" w:cs="Times New Roman"/>
          <w:b/>
          <w:bCs/>
          <w:sz w:val="28"/>
          <w:szCs w:val="28"/>
        </w:rPr>
      </w:pPr>
      <w:r w:rsidRPr="00191C4C">
        <w:rPr>
          <w:rFonts w:ascii="Constantia" w:eastAsia="Times New Roman" w:hAnsi="Constantia" w:cs="Times New Roman"/>
          <w:b/>
          <w:bCs/>
          <w:color w:val="000000"/>
          <w:sz w:val="28"/>
          <w:szCs w:val="28"/>
          <w:shd w:val="clear" w:color="auto" w:fill="FFFFFF"/>
        </w:rPr>
        <w:t>More than Content: Activating Reading(s) to Teach Writing Lessons</w:t>
      </w:r>
    </w:p>
    <w:p w14:paraId="730A6374" w14:textId="54E24876" w:rsidR="0093589C" w:rsidRPr="00191C4C" w:rsidRDefault="00191C4C">
      <w:pPr>
        <w:rPr>
          <w:rFonts w:ascii="Constantia" w:hAnsi="Constantia"/>
        </w:rPr>
      </w:pPr>
      <w:r w:rsidRPr="00191C4C">
        <w:rPr>
          <w:rFonts w:ascii="Constantia" w:hAnsi="Constantia"/>
        </w:rPr>
        <w:t>FYE Orientation 2021</w:t>
      </w:r>
    </w:p>
    <w:p w14:paraId="32140D43" w14:textId="2989A3C5" w:rsidR="00191C4C" w:rsidRDefault="00191C4C">
      <w:pPr>
        <w:rPr>
          <w:rFonts w:ascii="Constantia" w:hAnsi="Constantia"/>
        </w:rPr>
      </w:pPr>
      <w:r w:rsidRPr="00191C4C">
        <w:rPr>
          <w:rFonts w:ascii="Constantia" w:hAnsi="Constantia"/>
        </w:rPr>
        <w:t xml:space="preserve">Hannah Rule, Associate Professor </w:t>
      </w:r>
      <w:r w:rsidR="00F37E59">
        <w:rPr>
          <w:rFonts w:ascii="Constantia" w:hAnsi="Constantia"/>
        </w:rPr>
        <w:t xml:space="preserve">of </w:t>
      </w:r>
      <w:r w:rsidRPr="00191C4C">
        <w:rPr>
          <w:rFonts w:ascii="Constantia" w:hAnsi="Constantia"/>
        </w:rPr>
        <w:t>English</w:t>
      </w:r>
      <w:r w:rsidR="00F37E59">
        <w:rPr>
          <w:rFonts w:ascii="Constantia" w:hAnsi="Constantia"/>
        </w:rPr>
        <w:t xml:space="preserve">, </w:t>
      </w:r>
      <w:proofErr w:type="spellStart"/>
      <w:r w:rsidRPr="00191C4C">
        <w:rPr>
          <w:rFonts w:ascii="Constantia" w:hAnsi="Constantia"/>
        </w:rPr>
        <w:t>Rhet</w:t>
      </w:r>
      <w:proofErr w:type="spellEnd"/>
      <w:r w:rsidR="009650F3">
        <w:rPr>
          <w:rFonts w:ascii="Constantia" w:hAnsi="Constantia"/>
        </w:rPr>
        <w:t>/</w:t>
      </w:r>
      <w:r w:rsidRPr="00191C4C">
        <w:rPr>
          <w:rFonts w:ascii="Constantia" w:hAnsi="Constantia"/>
        </w:rPr>
        <w:t>Comp</w:t>
      </w:r>
    </w:p>
    <w:p w14:paraId="4553ACF9" w14:textId="320215F7" w:rsidR="00ED4AC1" w:rsidRDefault="00ED4AC1">
      <w:pPr>
        <w:rPr>
          <w:rFonts w:ascii="Constantia" w:hAnsi="Constantia"/>
        </w:rPr>
      </w:pPr>
    </w:p>
    <w:p w14:paraId="151177FB" w14:textId="77777777" w:rsidR="004A482A" w:rsidRDefault="004A482A">
      <w:pPr>
        <w:rPr>
          <w:rFonts w:ascii="Constantia" w:hAnsi="Constantia"/>
        </w:rPr>
      </w:pPr>
    </w:p>
    <w:p w14:paraId="5EE645A8" w14:textId="0A7C2FD6" w:rsidR="00ED4AC1" w:rsidRPr="00ED4AC1" w:rsidRDefault="00ED4AC1" w:rsidP="00ED4AC1">
      <w:pPr>
        <w:rPr>
          <w:rFonts w:ascii="Constantia" w:eastAsia="Times New Roman" w:hAnsi="Constantia" w:cs="Times New Roman"/>
          <w:color w:val="000000"/>
          <w:shd w:val="clear" w:color="auto" w:fill="FFFFFF"/>
        </w:rPr>
      </w:pPr>
      <w:r w:rsidRPr="00ED4AC1">
        <w:rPr>
          <w:rFonts w:ascii="Constantia" w:eastAsia="Times New Roman" w:hAnsi="Constantia" w:cs="Times New Roman"/>
          <w:color w:val="000000"/>
          <w:shd w:val="clear" w:color="auto" w:fill="FFFFFF"/>
        </w:rPr>
        <w:t xml:space="preserve">1) </w:t>
      </w:r>
      <w:proofErr w:type="spellStart"/>
      <w:r w:rsidR="00D00A31" w:rsidRPr="00D00A31">
        <w:rPr>
          <w:rFonts w:ascii="Constantia" w:eastAsia="Times New Roman" w:hAnsi="Constantia" w:cs="Times New Roman"/>
          <w:b/>
          <w:bCs/>
          <w:color w:val="000000"/>
          <w:shd w:val="clear" w:color="auto" w:fill="FFFFFF"/>
        </w:rPr>
        <w:t>Quickwrite</w:t>
      </w:r>
      <w:proofErr w:type="spellEnd"/>
      <w:r w:rsidR="00D00A31" w:rsidRPr="00D00A31">
        <w:rPr>
          <w:rFonts w:ascii="Constantia" w:eastAsia="Times New Roman" w:hAnsi="Constantia" w:cs="Times New Roman"/>
          <w:b/>
          <w:bCs/>
          <w:color w:val="000000"/>
          <w:shd w:val="clear" w:color="auto" w:fill="FFFFFF"/>
        </w:rPr>
        <w:t>/Think (5 mins):</w:t>
      </w:r>
      <w:r w:rsidR="00D00A31">
        <w:rPr>
          <w:rFonts w:ascii="Constantia" w:eastAsia="Times New Roman" w:hAnsi="Constantia" w:cs="Times New Roman"/>
          <w:color w:val="000000"/>
          <w:shd w:val="clear" w:color="auto" w:fill="FFFFFF"/>
        </w:rPr>
        <w:t xml:space="preserve"> </w:t>
      </w:r>
      <w:r w:rsidRPr="00ED4AC1">
        <w:rPr>
          <w:rFonts w:ascii="Constantia" w:eastAsia="Times New Roman" w:hAnsi="Constantia" w:cs="Times New Roman"/>
          <w:color w:val="000000"/>
          <w:shd w:val="clear" w:color="auto" w:fill="FFFFFF"/>
        </w:rPr>
        <w:t xml:space="preserve">Why do we have students </w:t>
      </w:r>
      <w:r>
        <w:rPr>
          <w:rFonts w:ascii="Constantia" w:eastAsia="Times New Roman" w:hAnsi="Constantia" w:cs="Times New Roman"/>
          <w:color w:val="000000"/>
          <w:shd w:val="clear" w:color="auto" w:fill="FFFFFF"/>
        </w:rPr>
        <w:t>“</w:t>
      </w:r>
      <w:r w:rsidRPr="00ED4AC1">
        <w:rPr>
          <w:rFonts w:ascii="Constantia" w:eastAsia="Times New Roman" w:hAnsi="Constantia" w:cs="Times New Roman"/>
          <w:color w:val="000000"/>
          <w:shd w:val="clear" w:color="auto" w:fill="FFFFFF"/>
        </w:rPr>
        <w:t>do readings” in first-year English? What purposes do readings serve? What does reading have to do with writing? How can our work with "a reading" help students learn more about </w:t>
      </w:r>
      <w:r w:rsidRPr="00ED4AC1">
        <w:rPr>
          <w:rFonts w:ascii="Constantia" w:eastAsia="Times New Roman" w:hAnsi="Constantia" w:cs="Times New Roman"/>
          <w:i/>
          <w:iCs/>
          <w:color w:val="000000"/>
          <w:shd w:val="clear" w:color="auto" w:fill="FFFFFF"/>
        </w:rPr>
        <w:t>writing</w:t>
      </w:r>
      <w:r w:rsidRPr="00ED4AC1">
        <w:rPr>
          <w:rFonts w:ascii="Constantia" w:eastAsia="Times New Roman" w:hAnsi="Constantia" w:cs="Times New Roman"/>
          <w:color w:val="000000"/>
          <w:shd w:val="clear" w:color="auto" w:fill="FFFFFF"/>
        </w:rPr>
        <w:t xml:space="preserve">? </w:t>
      </w:r>
    </w:p>
    <w:p w14:paraId="26251AD7" w14:textId="7883636C" w:rsidR="00ED4AC1" w:rsidRPr="00ED4AC1" w:rsidRDefault="00ED4AC1" w:rsidP="00ED4AC1">
      <w:pPr>
        <w:rPr>
          <w:rFonts w:ascii="Constantia" w:eastAsia="Times New Roman" w:hAnsi="Constantia" w:cs="Times New Roman"/>
          <w:color w:val="000000"/>
          <w:shd w:val="clear" w:color="auto" w:fill="FFFFFF"/>
        </w:rPr>
      </w:pPr>
    </w:p>
    <w:p w14:paraId="638A24B6" w14:textId="78F6B0DD" w:rsidR="00ED4AC1" w:rsidRDefault="00A736DB" w:rsidP="00ED4AC1">
      <w:pPr>
        <w:rPr>
          <w:rFonts w:ascii="Constantia" w:eastAsia="Times New Roman" w:hAnsi="Constantia" w:cs="Times New Roman"/>
          <w:color w:val="000000"/>
          <w:shd w:val="clear" w:color="auto" w:fill="FFFFFF"/>
        </w:rPr>
      </w:pPr>
      <w:r>
        <w:rPr>
          <w:rFonts w:ascii="Constantia" w:eastAsia="Times New Roman" w:hAnsi="Constantia" w:cs="Times New Roman"/>
          <w:color w:val="000000"/>
          <w:shd w:val="clear" w:color="auto" w:fill="FFFFFF"/>
        </w:rPr>
        <w:tab/>
        <w:t xml:space="preserve">Activity: </w:t>
      </w:r>
      <w:hyperlink r:id="rId5" w:history="1">
        <w:r w:rsidR="00ED4AC1" w:rsidRPr="00001C0A">
          <w:rPr>
            <w:rStyle w:val="Hyperlink"/>
            <w:rFonts w:ascii="Constantia" w:eastAsia="Times New Roman" w:hAnsi="Constantia" w:cs="Times New Roman"/>
            <w:b/>
            <w:bCs/>
            <w:shd w:val="clear" w:color="auto" w:fill="FFFFFF"/>
          </w:rPr>
          <w:t>Think—Pair—Share</w:t>
        </w:r>
      </w:hyperlink>
      <w:r w:rsidR="00ED4AC1" w:rsidRPr="00ED4AC1">
        <w:rPr>
          <w:rFonts w:ascii="Constantia" w:eastAsia="Times New Roman" w:hAnsi="Constantia" w:cs="Times New Roman"/>
          <w:color w:val="000000"/>
          <w:shd w:val="clear" w:color="auto" w:fill="FFFFFF"/>
        </w:rPr>
        <w:t xml:space="preserve"> </w:t>
      </w:r>
    </w:p>
    <w:p w14:paraId="4E136F20" w14:textId="45D199E0" w:rsidR="00A736DB" w:rsidRDefault="00A736DB" w:rsidP="00ED4AC1">
      <w:pPr>
        <w:rPr>
          <w:rFonts w:ascii="Constantia" w:eastAsia="Times New Roman" w:hAnsi="Constantia" w:cs="Times New Roman"/>
          <w:color w:val="000000"/>
          <w:shd w:val="clear" w:color="auto" w:fill="FFFFFF"/>
        </w:rPr>
      </w:pPr>
    </w:p>
    <w:p w14:paraId="15090802" w14:textId="77777777" w:rsidR="00001C0A" w:rsidRDefault="00001C0A" w:rsidP="00ED4AC1">
      <w:pPr>
        <w:rPr>
          <w:rFonts w:ascii="Constantia" w:eastAsia="Times New Roman" w:hAnsi="Constantia" w:cs="Times New Roman"/>
          <w:color w:val="000000"/>
          <w:shd w:val="clear" w:color="auto" w:fill="FFFFFF"/>
        </w:rPr>
      </w:pPr>
    </w:p>
    <w:p w14:paraId="10440E09" w14:textId="77777777" w:rsidR="00647067" w:rsidRDefault="00A736DB" w:rsidP="00ED4AC1">
      <w:pPr>
        <w:rPr>
          <w:rFonts w:ascii="Constantia" w:eastAsia="Times New Roman" w:hAnsi="Constantia" w:cs="Times New Roman"/>
          <w:color w:val="000000"/>
          <w:shd w:val="clear" w:color="auto" w:fill="FFFFFF"/>
        </w:rPr>
      </w:pPr>
      <w:r>
        <w:rPr>
          <w:rFonts w:ascii="Constantia" w:eastAsia="Times New Roman" w:hAnsi="Constantia" w:cs="Times New Roman"/>
          <w:color w:val="000000"/>
          <w:shd w:val="clear" w:color="auto" w:fill="FFFFFF"/>
        </w:rPr>
        <w:t xml:space="preserve">2) </w:t>
      </w:r>
      <w:r w:rsidRPr="00D00A31">
        <w:rPr>
          <w:rFonts w:ascii="Constantia" w:eastAsia="Times New Roman" w:hAnsi="Constantia" w:cs="Times New Roman"/>
          <w:b/>
          <w:bCs/>
          <w:color w:val="000000"/>
          <w:shd w:val="clear" w:color="auto" w:fill="FFFFFF"/>
        </w:rPr>
        <w:t>Whole Group Share</w:t>
      </w:r>
      <w:r>
        <w:rPr>
          <w:rFonts w:ascii="Constantia" w:eastAsia="Times New Roman" w:hAnsi="Constantia" w:cs="Times New Roman"/>
          <w:color w:val="000000"/>
          <w:shd w:val="clear" w:color="auto" w:fill="FFFFFF"/>
        </w:rPr>
        <w:t xml:space="preserve"> </w:t>
      </w:r>
      <w:r w:rsidRPr="00A736DB">
        <w:rPr>
          <w:rFonts w:ascii="Constantia" w:eastAsia="Times New Roman" w:hAnsi="Constantia" w:cs="Times New Roman"/>
          <w:color w:val="000000"/>
          <w:shd w:val="clear" w:color="auto" w:fill="FFFFFF"/>
        </w:rPr>
        <w:sym w:font="Wingdings" w:char="F0E0"/>
      </w:r>
      <w:r>
        <w:rPr>
          <w:rFonts w:ascii="Constantia" w:eastAsia="Times New Roman" w:hAnsi="Constantia" w:cs="Times New Roman"/>
          <w:color w:val="000000"/>
          <w:shd w:val="clear" w:color="auto" w:fill="FFFFFF"/>
        </w:rPr>
        <w:t xml:space="preserve"> </w:t>
      </w:r>
    </w:p>
    <w:p w14:paraId="0D9C913C" w14:textId="708FF577" w:rsidR="00A736DB" w:rsidRDefault="00647067" w:rsidP="00647067">
      <w:pPr>
        <w:pStyle w:val="ListParagraph"/>
        <w:numPr>
          <w:ilvl w:val="0"/>
          <w:numId w:val="1"/>
        </w:numPr>
        <w:ind w:left="1080"/>
        <w:rPr>
          <w:rFonts w:ascii="Constantia" w:eastAsia="Times New Roman" w:hAnsi="Constantia" w:cs="Times New Roman"/>
          <w:color w:val="000000"/>
          <w:shd w:val="clear" w:color="auto" w:fill="FFFFFF"/>
        </w:rPr>
      </w:pPr>
      <w:r w:rsidRPr="00647067">
        <w:rPr>
          <w:rFonts w:ascii="Constantia" w:eastAsia="Times New Roman" w:hAnsi="Constantia" w:cs="Times New Roman"/>
          <w:color w:val="000000"/>
          <w:shd w:val="clear" w:color="auto" w:fill="FFFFFF"/>
        </w:rPr>
        <w:t>What can we do with reading(s)?</w:t>
      </w:r>
    </w:p>
    <w:p w14:paraId="5DC8C666" w14:textId="7BF74ABF" w:rsidR="007E14A0" w:rsidRPr="00647067" w:rsidRDefault="009D4CDD" w:rsidP="00647067">
      <w:pPr>
        <w:pStyle w:val="ListParagraph"/>
        <w:numPr>
          <w:ilvl w:val="0"/>
          <w:numId w:val="1"/>
        </w:numPr>
        <w:ind w:left="1080"/>
        <w:rPr>
          <w:rFonts w:ascii="Constantia" w:eastAsia="Times New Roman" w:hAnsi="Constantia" w:cs="Times New Roman"/>
          <w:color w:val="000000"/>
          <w:shd w:val="clear" w:color="auto" w:fill="FFFFFF"/>
        </w:rPr>
      </w:pPr>
      <w:hyperlink r:id="rId6" w:history="1">
        <w:r w:rsidR="007E14A0" w:rsidRPr="00001C0A">
          <w:rPr>
            <w:rStyle w:val="Hyperlink"/>
            <w:rFonts w:ascii="Constantia" w:eastAsia="Times New Roman" w:hAnsi="Constantia" w:cs="Times New Roman"/>
            <w:shd w:val="clear" w:color="auto" w:fill="FFFFFF"/>
          </w:rPr>
          <w:t>Mindy Rogers, “My Father’s English”</w:t>
        </w:r>
      </w:hyperlink>
      <w:r w:rsidR="004F7D18">
        <w:rPr>
          <w:rFonts w:ascii="Constantia" w:eastAsia="Times New Roman" w:hAnsi="Constantia" w:cs="Times New Roman"/>
          <w:color w:val="000000"/>
          <w:shd w:val="clear" w:color="auto" w:fill="FFFFFF"/>
        </w:rPr>
        <w:t xml:space="preserve">—how can </w:t>
      </w:r>
      <w:proofErr w:type="gramStart"/>
      <w:r w:rsidR="004F7D18">
        <w:rPr>
          <w:rFonts w:ascii="Constantia" w:eastAsia="Times New Roman" w:hAnsi="Constantia" w:cs="Times New Roman"/>
          <w:color w:val="000000"/>
          <w:shd w:val="clear" w:color="auto" w:fill="FFFFFF"/>
        </w:rPr>
        <w:t>it</w:t>
      </w:r>
      <w:proofErr w:type="gramEnd"/>
      <w:r w:rsidR="004F7D18">
        <w:rPr>
          <w:rFonts w:ascii="Constantia" w:eastAsia="Times New Roman" w:hAnsi="Constantia" w:cs="Times New Roman"/>
          <w:color w:val="000000"/>
          <w:shd w:val="clear" w:color="auto" w:fill="FFFFFF"/>
        </w:rPr>
        <w:t xml:space="preserve"> mentor/guide students’ </w:t>
      </w:r>
      <w:r w:rsidR="004F7D18" w:rsidRPr="00001C0A">
        <w:rPr>
          <w:rFonts w:ascii="Constantia" w:eastAsia="Times New Roman" w:hAnsi="Constantia" w:cs="Times New Roman"/>
          <w:i/>
          <w:iCs/>
          <w:color w:val="000000"/>
          <w:shd w:val="clear" w:color="auto" w:fill="FFFFFF"/>
        </w:rPr>
        <w:t>writing</w:t>
      </w:r>
      <w:r w:rsidR="004F7D18">
        <w:rPr>
          <w:rFonts w:ascii="Constantia" w:eastAsia="Times New Roman" w:hAnsi="Constantia" w:cs="Times New Roman"/>
          <w:color w:val="000000"/>
          <w:shd w:val="clear" w:color="auto" w:fill="FFFFFF"/>
        </w:rPr>
        <w:t xml:space="preserve">? </w:t>
      </w:r>
    </w:p>
    <w:p w14:paraId="1D588268" w14:textId="486B3EB0" w:rsidR="00A736DB" w:rsidRDefault="00A736DB" w:rsidP="00647067">
      <w:pPr>
        <w:pStyle w:val="ListParagraph"/>
        <w:numPr>
          <w:ilvl w:val="0"/>
          <w:numId w:val="1"/>
        </w:numPr>
        <w:ind w:left="1080"/>
        <w:rPr>
          <w:rFonts w:ascii="Constantia" w:eastAsia="Times New Roman" w:hAnsi="Constantia" w:cs="Times New Roman"/>
          <w:color w:val="000000"/>
          <w:shd w:val="clear" w:color="auto" w:fill="FFFFFF"/>
        </w:rPr>
      </w:pPr>
      <w:r w:rsidRPr="00647067">
        <w:rPr>
          <w:rFonts w:ascii="Constantia" w:eastAsia="Times New Roman" w:hAnsi="Constantia" w:cs="Times New Roman"/>
          <w:color w:val="000000"/>
          <w:shd w:val="clear" w:color="auto" w:fill="FFFFFF"/>
        </w:rPr>
        <w:t>What challenges or problems do you see</w:t>
      </w:r>
      <w:r w:rsidR="00001C0A">
        <w:rPr>
          <w:rFonts w:ascii="Constantia" w:eastAsia="Times New Roman" w:hAnsi="Constantia" w:cs="Times New Roman"/>
          <w:color w:val="000000"/>
          <w:shd w:val="clear" w:color="auto" w:fill="FFFFFF"/>
        </w:rPr>
        <w:t>/anticipate</w:t>
      </w:r>
      <w:r w:rsidRPr="00647067">
        <w:rPr>
          <w:rFonts w:ascii="Constantia" w:eastAsia="Times New Roman" w:hAnsi="Constantia" w:cs="Times New Roman"/>
          <w:color w:val="000000"/>
          <w:shd w:val="clear" w:color="auto" w:fill="FFFFFF"/>
        </w:rPr>
        <w:t xml:space="preserve"> in students’ writing </w:t>
      </w:r>
      <w:r w:rsidR="00647067">
        <w:rPr>
          <w:rFonts w:ascii="Constantia" w:eastAsia="Times New Roman" w:hAnsi="Constantia" w:cs="Times New Roman"/>
          <w:color w:val="000000"/>
          <w:shd w:val="clear" w:color="auto" w:fill="FFFFFF"/>
        </w:rPr>
        <w:t>and how could</w:t>
      </w:r>
      <w:r w:rsidRPr="00647067">
        <w:rPr>
          <w:rFonts w:ascii="Constantia" w:eastAsia="Times New Roman" w:hAnsi="Constantia" w:cs="Times New Roman"/>
          <w:color w:val="000000"/>
          <w:shd w:val="clear" w:color="auto" w:fill="FFFFFF"/>
        </w:rPr>
        <w:t xml:space="preserve"> work with reading(s) help? </w:t>
      </w:r>
    </w:p>
    <w:p w14:paraId="2C4F0E4C" w14:textId="048828B4" w:rsidR="00001C0A" w:rsidRDefault="00001C0A" w:rsidP="00001C0A">
      <w:pPr>
        <w:rPr>
          <w:rFonts w:ascii="Constantia" w:eastAsia="Times New Roman" w:hAnsi="Constantia" w:cs="Times New Roman"/>
          <w:color w:val="000000"/>
          <w:shd w:val="clear" w:color="auto" w:fill="FFFFFF"/>
        </w:rPr>
      </w:pPr>
    </w:p>
    <w:p w14:paraId="768E2295" w14:textId="77777777" w:rsidR="00001C0A" w:rsidRPr="00001C0A" w:rsidRDefault="00001C0A" w:rsidP="00001C0A">
      <w:pPr>
        <w:rPr>
          <w:rFonts w:ascii="Constantia" w:eastAsia="Times New Roman" w:hAnsi="Constantia" w:cs="Times New Roman"/>
          <w:color w:val="000000"/>
          <w:shd w:val="clear" w:color="auto" w:fill="FFFFFF"/>
        </w:rPr>
      </w:pPr>
    </w:p>
    <w:p w14:paraId="79C5C282" w14:textId="5D9F6C3B" w:rsidR="00647067" w:rsidRDefault="00647067" w:rsidP="00647067">
      <w:pPr>
        <w:rPr>
          <w:rFonts w:ascii="Constantia" w:eastAsia="Times New Roman" w:hAnsi="Constantia" w:cs="Times New Roman"/>
          <w:color w:val="000000"/>
          <w:shd w:val="clear" w:color="auto" w:fill="FFFFFF"/>
        </w:rPr>
      </w:pPr>
    </w:p>
    <w:p w14:paraId="4807EFE5" w14:textId="3AA8BC8E" w:rsidR="00647067" w:rsidRPr="00D00A31" w:rsidRDefault="00647067" w:rsidP="00647067">
      <w:pPr>
        <w:rPr>
          <w:rFonts w:ascii="Constantia" w:eastAsia="Times New Roman" w:hAnsi="Constantia" w:cs="Times New Roman"/>
          <w:b/>
          <w:bCs/>
          <w:color w:val="000000"/>
          <w:shd w:val="clear" w:color="auto" w:fill="FFFFFF"/>
        </w:rPr>
      </w:pPr>
      <w:r>
        <w:rPr>
          <w:rFonts w:ascii="Constantia" w:eastAsia="Times New Roman" w:hAnsi="Constantia" w:cs="Times New Roman"/>
          <w:color w:val="000000"/>
          <w:shd w:val="clear" w:color="auto" w:fill="FFFFFF"/>
        </w:rPr>
        <w:t xml:space="preserve">3) </w:t>
      </w:r>
      <w:r w:rsidR="00001C0A">
        <w:rPr>
          <w:rFonts w:ascii="Constantia" w:eastAsia="Times New Roman" w:hAnsi="Constantia" w:cs="Times New Roman"/>
          <w:b/>
          <w:bCs/>
          <w:color w:val="000000"/>
          <w:shd w:val="clear" w:color="auto" w:fill="FFFFFF"/>
        </w:rPr>
        <w:t>Two</w:t>
      </w:r>
      <w:r w:rsidR="005F7A26" w:rsidRPr="00D00A31">
        <w:rPr>
          <w:rFonts w:ascii="Constantia" w:eastAsia="Times New Roman" w:hAnsi="Constantia" w:cs="Times New Roman"/>
          <w:b/>
          <w:bCs/>
          <w:color w:val="000000"/>
          <w:shd w:val="clear" w:color="auto" w:fill="FFFFFF"/>
        </w:rPr>
        <w:t xml:space="preserve"> Things </w:t>
      </w:r>
    </w:p>
    <w:p w14:paraId="6A6B2390" w14:textId="2B403E1B" w:rsidR="005F7A26" w:rsidRDefault="005F7A26" w:rsidP="00647067">
      <w:pPr>
        <w:rPr>
          <w:rFonts w:ascii="Constantia" w:eastAsia="Times New Roman" w:hAnsi="Constantia" w:cs="Times New Roman"/>
          <w:color w:val="000000"/>
          <w:shd w:val="clear" w:color="auto" w:fill="FFFFFF"/>
        </w:rPr>
      </w:pPr>
    </w:p>
    <w:p w14:paraId="17D7A03A" w14:textId="4E92E17A" w:rsidR="005F7A26" w:rsidRPr="00D00A31" w:rsidRDefault="005F7A26" w:rsidP="00D00A31">
      <w:pPr>
        <w:pStyle w:val="ListParagraph"/>
        <w:numPr>
          <w:ilvl w:val="0"/>
          <w:numId w:val="2"/>
        </w:numPr>
        <w:rPr>
          <w:rFonts w:ascii="Constantia" w:eastAsia="Times New Roman" w:hAnsi="Constantia" w:cs="Times New Roman"/>
          <w:b/>
          <w:bCs/>
          <w:color w:val="000000"/>
          <w:shd w:val="clear" w:color="auto" w:fill="FFFFFF"/>
        </w:rPr>
      </w:pPr>
      <w:r w:rsidRPr="00D00A31">
        <w:rPr>
          <w:rFonts w:ascii="Constantia" w:eastAsia="Times New Roman" w:hAnsi="Constantia" w:cs="Times New Roman"/>
          <w:b/>
          <w:bCs/>
          <w:color w:val="000000"/>
          <w:shd w:val="clear" w:color="auto" w:fill="FFFFFF"/>
        </w:rPr>
        <w:t xml:space="preserve">Approach Readings as “Mentor Texts,” </w:t>
      </w:r>
      <w:r w:rsidR="00D00A31">
        <w:rPr>
          <w:rFonts w:ascii="Constantia" w:eastAsia="Times New Roman" w:hAnsi="Constantia" w:cs="Times New Roman"/>
          <w:b/>
          <w:bCs/>
          <w:color w:val="000000"/>
          <w:shd w:val="clear" w:color="auto" w:fill="FFFFFF"/>
        </w:rPr>
        <w:t xml:space="preserve">as </w:t>
      </w:r>
      <w:r w:rsidRPr="00D00A31">
        <w:rPr>
          <w:rFonts w:ascii="Constantia" w:eastAsia="Times New Roman" w:hAnsi="Constantia" w:cs="Times New Roman"/>
          <w:b/>
          <w:bCs/>
          <w:color w:val="000000"/>
          <w:shd w:val="clear" w:color="auto" w:fill="FFFFFF"/>
        </w:rPr>
        <w:t>Writing Mentors</w:t>
      </w:r>
    </w:p>
    <w:p w14:paraId="5A9B4FC6" w14:textId="0FF45A1C" w:rsidR="005F7A26" w:rsidRDefault="00D00A31" w:rsidP="00647067">
      <w:pPr>
        <w:rPr>
          <w:rFonts w:ascii="Constantia" w:eastAsia="Times New Roman" w:hAnsi="Constantia" w:cs="Times New Roman"/>
          <w:color w:val="000000"/>
          <w:shd w:val="clear" w:color="auto" w:fill="FFFFFF"/>
        </w:rPr>
      </w:pPr>
      <w:r>
        <w:rPr>
          <w:rFonts w:ascii="Constantia" w:eastAsia="Times New Roman" w:hAnsi="Constantia" w:cs="Times New Roman"/>
          <w:color w:val="000000"/>
          <w:shd w:val="clear" w:color="auto" w:fill="FFFFFF"/>
        </w:rPr>
        <w:tab/>
      </w:r>
      <w:r>
        <w:rPr>
          <w:rFonts w:ascii="Constantia" w:eastAsia="Times New Roman" w:hAnsi="Constantia" w:cs="Times New Roman"/>
          <w:color w:val="000000"/>
          <w:shd w:val="clear" w:color="auto" w:fill="FFFFFF"/>
        </w:rPr>
        <w:tab/>
      </w:r>
      <w:r w:rsidRPr="00D00A31">
        <w:rPr>
          <w:rFonts w:ascii="Constantia" w:eastAsia="Times New Roman" w:hAnsi="Constantia" w:cs="Times New Roman"/>
          <w:color w:val="000000"/>
          <w:shd w:val="clear" w:color="auto" w:fill="FFFFFF"/>
        </w:rPr>
        <w:sym w:font="Wingdings" w:char="F0E0"/>
      </w:r>
      <w:r>
        <w:rPr>
          <w:rFonts w:ascii="Constantia" w:eastAsia="Times New Roman" w:hAnsi="Constantia" w:cs="Times New Roman"/>
          <w:color w:val="000000"/>
          <w:shd w:val="clear" w:color="auto" w:fill="FFFFFF"/>
        </w:rPr>
        <w:t xml:space="preserve"> </w:t>
      </w:r>
      <w:r w:rsidR="005F7A26">
        <w:rPr>
          <w:rFonts w:ascii="Constantia" w:eastAsia="Times New Roman" w:hAnsi="Constantia" w:cs="Times New Roman"/>
          <w:color w:val="000000"/>
          <w:shd w:val="clear" w:color="auto" w:fill="FFFFFF"/>
        </w:rPr>
        <w:t>Mike Bunn, “</w:t>
      </w:r>
      <w:hyperlink r:id="rId7" w:history="1">
        <w:r w:rsidR="005F7A26" w:rsidRPr="00001C0A">
          <w:rPr>
            <w:rStyle w:val="Hyperlink"/>
            <w:rFonts w:ascii="Constantia" w:eastAsia="Times New Roman" w:hAnsi="Constantia" w:cs="Times New Roman"/>
            <w:shd w:val="clear" w:color="auto" w:fill="FFFFFF"/>
          </w:rPr>
          <w:t>How to Read Like a Writer</w:t>
        </w:r>
      </w:hyperlink>
      <w:r w:rsidR="005F7A26">
        <w:rPr>
          <w:rFonts w:ascii="Constantia" w:eastAsia="Times New Roman" w:hAnsi="Constantia" w:cs="Times New Roman"/>
          <w:color w:val="000000"/>
          <w:shd w:val="clear" w:color="auto" w:fill="FFFFFF"/>
        </w:rPr>
        <w:t>”</w:t>
      </w:r>
      <w:r w:rsidR="00001C0A">
        <w:rPr>
          <w:rFonts w:ascii="Constantia" w:eastAsia="Times New Roman" w:hAnsi="Constantia" w:cs="Times New Roman"/>
          <w:color w:val="000000"/>
          <w:shd w:val="clear" w:color="auto" w:fill="FFFFFF"/>
        </w:rPr>
        <w:t xml:space="preserve"> (on 101 schedule)</w:t>
      </w:r>
    </w:p>
    <w:p w14:paraId="48DAB6B2" w14:textId="4BA4DFF6" w:rsidR="00736190" w:rsidRPr="007225A0" w:rsidRDefault="00736190" w:rsidP="00647067">
      <w:pPr>
        <w:rPr>
          <w:rFonts w:ascii="Constantia" w:eastAsia="Times New Roman" w:hAnsi="Constantia" w:cs="Times New Roman"/>
          <w:color w:val="000000"/>
          <w:sz w:val="18"/>
          <w:szCs w:val="18"/>
          <w:shd w:val="clear" w:color="auto" w:fill="FFFFFF"/>
        </w:rPr>
      </w:pPr>
      <w:r>
        <w:rPr>
          <w:rFonts w:ascii="Constantia" w:eastAsia="Times New Roman" w:hAnsi="Constantia" w:cs="Times New Roman"/>
          <w:color w:val="000000"/>
          <w:shd w:val="clear" w:color="auto" w:fill="FFFFFF"/>
        </w:rPr>
        <w:tab/>
      </w:r>
      <w:r>
        <w:rPr>
          <w:rFonts w:ascii="Constantia" w:eastAsia="Times New Roman" w:hAnsi="Constantia" w:cs="Times New Roman"/>
          <w:color w:val="000000"/>
          <w:shd w:val="clear" w:color="auto" w:fill="FFFFFF"/>
        </w:rPr>
        <w:tab/>
      </w:r>
      <w:r w:rsidRPr="00736190">
        <w:rPr>
          <w:rFonts w:ascii="Constantia" w:eastAsia="Times New Roman" w:hAnsi="Constantia" w:cs="Times New Roman"/>
          <w:color w:val="000000"/>
          <w:shd w:val="clear" w:color="auto" w:fill="FFFFFF"/>
        </w:rPr>
        <w:sym w:font="Wingdings" w:char="F0E0"/>
      </w:r>
      <w:r>
        <w:rPr>
          <w:rFonts w:ascii="Constantia" w:eastAsia="Times New Roman" w:hAnsi="Constantia" w:cs="Times New Roman"/>
          <w:color w:val="000000"/>
          <w:shd w:val="clear" w:color="auto" w:fill="FFFFFF"/>
        </w:rPr>
        <w:t xml:space="preserve"> </w:t>
      </w:r>
      <w:hyperlink r:id="rId8" w:history="1">
        <w:r w:rsidR="00001C0A" w:rsidRPr="00001C0A">
          <w:rPr>
            <w:rStyle w:val="Hyperlink"/>
            <w:rFonts w:ascii="Constantia" w:eastAsia="Times New Roman" w:hAnsi="Constantia" w:cs="Times New Roman"/>
            <w:shd w:val="clear" w:color="auto" w:fill="FFFFFF"/>
          </w:rPr>
          <w:t>On “</w:t>
        </w:r>
        <w:r w:rsidR="007225A0" w:rsidRPr="00001C0A">
          <w:rPr>
            <w:rStyle w:val="Hyperlink"/>
            <w:rFonts w:ascii="Constantia" w:eastAsia="Times New Roman" w:hAnsi="Constantia" w:cs="Times New Roman"/>
            <w:shd w:val="clear" w:color="auto" w:fill="FFFFFF"/>
          </w:rPr>
          <w:t>Mentor Texts</w:t>
        </w:r>
        <w:r w:rsidR="00001C0A" w:rsidRPr="00001C0A">
          <w:rPr>
            <w:rStyle w:val="Hyperlink"/>
            <w:rFonts w:ascii="Constantia" w:eastAsia="Times New Roman" w:hAnsi="Constantia" w:cs="Times New Roman"/>
            <w:shd w:val="clear" w:color="auto" w:fill="FFFFFF"/>
          </w:rPr>
          <w:t>”</w:t>
        </w:r>
      </w:hyperlink>
      <w:r w:rsidR="007225A0">
        <w:rPr>
          <w:rFonts w:ascii="Constantia" w:eastAsia="Times New Roman" w:hAnsi="Constantia" w:cs="Times New Roman"/>
          <w:color w:val="000000"/>
          <w:shd w:val="clear" w:color="auto" w:fill="FFFFFF"/>
        </w:rPr>
        <w:t xml:space="preserve"> </w:t>
      </w:r>
    </w:p>
    <w:p w14:paraId="5ED30A79" w14:textId="6145A058" w:rsidR="00D00A31" w:rsidRDefault="00D00A31" w:rsidP="00647067">
      <w:pPr>
        <w:rPr>
          <w:rFonts w:ascii="Constantia" w:eastAsia="Times New Roman" w:hAnsi="Constantia" w:cs="Times New Roman"/>
          <w:color w:val="000000"/>
          <w:shd w:val="clear" w:color="auto" w:fill="FFFFFF"/>
        </w:rPr>
      </w:pPr>
    </w:p>
    <w:p w14:paraId="01869C0A" w14:textId="6982E798" w:rsidR="00D00A31" w:rsidRPr="00D00A31" w:rsidRDefault="00D00A31" w:rsidP="00D00A31">
      <w:pPr>
        <w:pBdr>
          <w:left w:val="dashed" w:sz="4" w:space="4" w:color="auto"/>
        </w:pBdr>
        <w:ind w:left="360"/>
        <w:rPr>
          <w:b/>
          <w:bCs/>
        </w:rPr>
      </w:pPr>
      <w:r w:rsidRPr="00D00A31">
        <w:rPr>
          <w:rFonts w:ascii="Constantia" w:eastAsia="Times New Roman" w:hAnsi="Constantia" w:cs="Times New Roman"/>
          <w:b/>
          <w:bCs/>
          <w:color w:val="000000"/>
          <w:shd w:val="clear" w:color="auto" w:fill="FFFFFF"/>
        </w:rPr>
        <w:t>“Teaching Students to Read like Writers Promotes Writing Growth”—</w:t>
      </w:r>
      <w:r w:rsidRPr="00D00A31">
        <w:rPr>
          <w:b/>
          <w:bCs/>
        </w:rPr>
        <w:t xml:space="preserve"> </w:t>
      </w:r>
      <w:r w:rsidRPr="00D00A31">
        <w:rPr>
          <w:rFonts w:ascii="Constantia" w:eastAsia="Times New Roman" w:hAnsi="Constantia" w:cs="Times New Roman"/>
          <w:color w:val="000000"/>
          <w:sz w:val="20"/>
          <w:szCs w:val="20"/>
          <w:shd w:val="clear" w:color="auto" w:fill="FFFFFF"/>
        </w:rPr>
        <w:t>Diane Lapp, Douglas Fisher, and Nancy Frey, 2015</w:t>
      </w:r>
    </w:p>
    <w:p w14:paraId="7585D1EC" w14:textId="70D93E6E" w:rsidR="00D00A31" w:rsidRPr="00CE024B" w:rsidRDefault="006B1E93" w:rsidP="00D00A31">
      <w:pPr>
        <w:pBdr>
          <w:left w:val="dashed" w:sz="4" w:space="4" w:color="auto"/>
        </w:pBdr>
        <w:ind w:left="360"/>
        <w:rPr>
          <w:rFonts w:ascii="Constantia" w:eastAsia="Times New Roman" w:hAnsi="Constantia" w:cs="Times New Roman"/>
          <w:color w:val="000000"/>
          <w:sz w:val="20"/>
          <w:szCs w:val="20"/>
          <w:shd w:val="clear" w:color="auto" w:fill="FFFFFF"/>
        </w:rPr>
      </w:pPr>
      <w:r>
        <w:rPr>
          <w:rFonts w:ascii="Constantia" w:eastAsia="Times New Roman" w:hAnsi="Constantia" w:cs="Times New Roman"/>
          <w:color w:val="000000"/>
          <w:sz w:val="20"/>
          <w:szCs w:val="20"/>
          <w:shd w:val="clear" w:color="auto" w:fill="FFFFFF"/>
        </w:rPr>
        <w:t>“</w:t>
      </w:r>
      <w:r w:rsidR="00D00A31" w:rsidRPr="00CE024B">
        <w:rPr>
          <w:rFonts w:ascii="Constantia" w:eastAsia="Times New Roman" w:hAnsi="Constantia" w:cs="Times New Roman"/>
          <w:color w:val="000000"/>
          <w:sz w:val="20"/>
          <w:szCs w:val="20"/>
          <w:shd w:val="clear" w:color="auto" w:fill="FFFFFF"/>
        </w:rPr>
        <w:t xml:space="preserve">When engaging with an exciting novel, a motivating poem, or an interesting informational article, do you ever find that in addition to being enthralled by the content you often return to the text to muse about the craft used by the author to convey the information or tell the story? This happens to us often, and these are always the pieces we find most interesting; they are often the ones we encourage others to read. These are the pieces that intrigue us because of the information or story being shared and the author’s way of relaying it. </w:t>
      </w:r>
    </w:p>
    <w:p w14:paraId="268D71F0" w14:textId="77777777" w:rsidR="00D00A31" w:rsidRPr="00CE024B" w:rsidRDefault="00D00A31" w:rsidP="00D00A31">
      <w:pPr>
        <w:pBdr>
          <w:left w:val="dashed" w:sz="4" w:space="4" w:color="auto"/>
        </w:pBdr>
        <w:ind w:left="360"/>
        <w:rPr>
          <w:rFonts w:ascii="Constantia" w:eastAsia="Times New Roman" w:hAnsi="Constantia" w:cs="Times New Roman"/>
          <w:color w:val="000000"/>
          <w:sz w:val="20"/>
          <w:szCs w:val="20"/>
          <w:shd w:val="clear" w:color="auto" w:fill="FFFFFF"/>
        </w:rPr>
      </w:pPr>
    </w:p>
    <w:p w14:paraId="47252862" w14:textId="0D259918" w:rsidR="00D00A31" w:rsidRPr="00CE024B" w:rsidRDefault="00D00A31" w:rsidP="00D00A31">
      <w:pPr>
        <w:pBdr>
          <w:left w:val="dashed" w:sz="4" w:space="4" w:color="auto"/>
        </w:pBdr>
        <w:ind w:left="360"/>
        <w:rPr>
          <w:rFonts w:ascii="Constantia" w:eastAsia="Times New Roman" w:hAnsi="Constantia" w:cs="Times New Roman"/>
          <w:color w:val="000000"/>
          <w:sz w:val="20"/>
          <w:szCs w:val="20"/>
          <w:shd w:val="clear" w:color="auto" w:fill="FFFFFF"/>
        </w:rPr>
      </w:pPr>
      <w:r w:rsidRPr="00CE024B">
        <w:rPr>
          <w:rFonts w:ascii="Constantia" w:eastAsia="Times New Roman" w:hAnsi="Constantia" w:cs="Times New Roman"/>
          <w:color w:val="000000"/>
          <w:sz w:val="20"/>
          <w:szCs w:val="20"/>
          <w:shd w:val="clear" w:color="auto" w:fill="FFFFFF"/>
        </w:rPr>
        <w:t xml:space="preserve">As skilled readers, we all read like writers who </w:t>
      </w:r>
      <w:r w:rsidRPr="00D00A31">
        <w:rPr>
          <w:rFonts w:ascii="Constantia" w:eastAsia="Times New Roman" w:hAnsi="Constantia" w:cs="Times New Roman"/>
          <w:color w:val="000000"/>
          <w:sz w:val="20"/>
          <w:szCs w:val="20"/>
          <w:shd w:val="clear" w:color="auto" w:fill="FFFFFF"/>
        </w:rPr>
        <w:t>in turn consider the crafting techniques used by</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other writers. We like to look at the language and</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consider why the author used particular words</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in particular ways. We consider the facts being</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shared or the way the story unfolds. We deliberate</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on the clues we’ve been given to guess the</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ending and wonder about what details and clues</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were left out. We reread to visualize the images</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the author is painting for us and just how this is</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affecting our interpretation. We like to consider</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the types of sentences that are being used; are</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they short and choppy or long and flowing? It’s</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interesting to think about how different sentence</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constructions influence understanding and</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emotion</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So too is it interesting to consider</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punctuation.</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How are dashes, colons, and periods used</w:t>
      </w:r>
      <w:r w:rsidRPr="00CE024B">
        <w:rPr>
          <w:rFonts w:ascii="Constantia" w:eastAsia="Times New Roman" w:hAnsi="Constantia" w:cs="Times New Roman"/>
          <w:color w:val="000000"/>
          <w:sz w:val="20"/>
          <w:szCs w:val="20"/>
          <w:shd w:val="clear" w:color="auto" w:fill="FFFFFF"/>
        </w:rPr>
        <w:t xml:space="preserve"> to create connections between and among ideas? </w:t>
      </w:r>
    </w:p>
    <w:p w14:paraId="02DD3F2E" w14:textId="77777777" w:rsidR="00D00A31" w:rsidRPr="00CE024B" w:rsidRDefault="00D00A31" w:rsidP="00D00A31">
      <w:pPr>
        <w:pBdr>
          <w:left w:val="dashed" w:sz="4" w:space="4" w:color="auto"/>
        </w:pBdr>
        <w:ind w:left="360"/>
        <w:rPr>
          <w:rFonts w:ascii="Constantia" w:eastAsia="Times New Roman" w:hAnsi="Constantia" w:cs="Times New Roman"/>
          <w:color w:val="000000"/>
          <w:sz w:val="20"/>
          <w:szCs w:val="20"/>
          <w:shd w:val="clear" w:color="auto" w:fill="FFFFFF"/>
        </w:rPr>
      </w:pPr>
    </w:p>
    <w:p w14:paraId="7B2DBA5C" w14:textId="75276C94" w:rsidR="00D00A31" w:rsidRPr="00CE024B" w:rsidRDefault="00D00A31" w:rsidP="00D00A31">
      <w:pPr>
        <w:pBdr>
          <w:left w:val="dashed" w:sz="4" w:space="4" w:color="auto"/>
        </w:pBdr>
        <w:ind w:left="360"/>
        <w:rPr>
          <w:rFonts w:ascii="Constantia" w:eastAsia="Times New Roman" w:hAnsi="Constantia" w:cs="Times New Roman"/>
          <w:color w:val="000000"/>
          <w:sz w:val="20"/>
          <w:szCs w:val="20"/>
          <w:shd w:val="clear" w:color="auto" w:fill="FFFFFF"/>
        </w:rPr>
      </w:pPr>
      <w:r w:rsidRPr="00D00A31">
        <w:rPr>
          <w:rFonts w:ascii="Constantia" w:eastAsia="Times New Roman" w:hAnsi="Constantia" w:cs="Times New Roman"/>
          <w:color w:val="000000"/>
          <w:sz w:val="20"/>
          <w:szCs w:val="20"/>
          <w:shd w:val="clear" w:color="auto" w:fill="FFFFFF"/>
        </w:rPr>
        <w:t>Teaching students to discern the author’s</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intentionality in crafting a text supports their</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development as both readers and writers. At the</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conclusion of reading, students who are</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becoming</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good writers should be able to explain what</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the text says as well as how the story was</w:t>
      </w:r>
      <w:r w:rsidRPr="00CE024B">
        <w:rPr>
          <w:rFonts w:ascii="Constantia" w:eastAsia="Times New Roman" w:hAnsi="Constantia" w:cs="Times New Roman"/>
          <w:color w:val="000000"/>
          <w:sz w:val="20"/>
          <w:szCs w:val="20"/>
          <w:shd w:val="clear" w:color="auto" w:fill="FFFFFF"/>
        </w:rPr>
        <w:t xml:space="preserve"> </w:t>
      </w:r>
      <w:proofErr w:type="gramStart"/>
      <w:r w:rsidRPr="00D00A31">
        <w:rPr>
          <w:rFonts w:ascii="Constantia" w:eastAsia="Times New Roman" w:hAnsi="Constantia" w:cs="Times New Roman"/>
          <w:color w:val="000000"/>
          <w:sz w:val="20"/>
          <w:szCs w:val="20"/>
          <w:shd w:val="clear" w:color="auto" w:fill="FFFFFF"/>
        </w:rPr>
        <w:t>told</w:t>
      </w:r>
      <w:proofErr w:type="gramEnd"/>
      <w:r w:rsidRPr="00D00A31">
        <w:rPr>
          <w:rFonts w:ascii="Constantia" w:eastAsia="Times New Roman" w:hAnsi="Constantia" w:cs="Times New Roman"/>
          <w:color w:val="000000"/>
          <w:sz w:val="20"/>
          <w:szCs w:val="20"/>
          <w:shd w:val="clear" w:color="auto" w:fill="FFFFFF"/>
        </w:rPr>
        <w:t xml:space="preserve"> or</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the information was conveyed. They should consider</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whether they are compelled to invite others</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to read it, and if not—why not? An examination</w:t>
      </w:r>
      <w:r w:rsidRPr="00CE024B">
        <w:rPr>
          <w:rFonts w:ascii="Constantia" w:eastAsia="Times New Roman" w:hAnsi="Constantia" w:cs="Times New Roman"/>
          <w:color w:val="000000"/>
          <w:sz w:val="20"/>
          <w:szCs w:val="20"/>
          <w:shd w:val="clear" w:color="auto" w:fill="FFFFFF"/>
        </w:rPr>
        <w:t xml:space="preserve"> </w:t>
      </w:r>
      <w:r w:rsidRPr="00D00A31">
        <w:rPr>
          <w:rFonts w:ascii="Constantia" w:eastAsia="Times New Roman" w:hAnsi="Constantia" w:cs="Times New Roman"/>
          <w:color w:val="000000"/>
          <w:sz w:val="20"/>
          <w:szCs w:val="20"/>
          <w:shd w:val="clear" w:color="auto" w:fill="FFFFFF"/>
        </w:rPr>
        <w:t xml:space="preserve">of the </w:t>
      </w:r>
      <w:proofErr w:type="spellStart"/>
      <w:r w:rsidRPr="00D00A31">
        <w:rPr>
          <w:rFonts w:ascii="Constantia" w:eastAsia="Times New Roman" w:hAnsi="Constantia" w:cs="Times New Roman"/>
          <w:color w:val="000000"/>
          <w:sz w:val="20"/>
          <w:szCs w:val="20"/>
          <w:shd w:val="clear" w:color="auto" w:fill="FFFFFF"/>
        </w:rPr>
        <w:t>how</w:t>
      </w:r>
      <w:proofErr w:type="spellEnd"/>
      <w:r w:rsidRPr="00D00A31">
        <w:rPr>
          <w:rFonts w:ascii="Constantia" w:eastAsia="Times New Roman" w:hAnsi="Constantia" w:cs="Times New Roman"/>
          <w:color w:val="000000"/>
          <w:sz w:val="20"/>
          <w:szCs w:val="20"/>
          <w:shd w:val="clear" w:color="auto" w:fill="FFFFFF"/>
        </w:rPr>
        <w:t xml:space="preserve"> of the text supports writers having a</w:t>
      </w:r>
      <w:r w:rsidRPr="00CE024B">
        <w:rPr>
          <w:rFonts w:ascii="Constantia" w:eastAsia="Times New Roman" w:hAnsi="Constantia" w:cs="Times New Roman"/>
          <w:color w:val="000000"/>
          <w:sz w:val="20"/>
          <w:szCs w:val="20"/>
          <w:shd w:val="clear" w:color="auto" w:fill="FFFFFF"/>
        </w:rPr>
        <w:t xml:space="preserve"> tool bag full of ways to share their own ideas</w:t>
      </w:r>
      <w:r w:rsidR="006B1E93">
        <w:rPr>
          <w:rFonts w:ascii="Constantia" w:eastAsia="Times New Roman" w:hAnsi="Constantia" w:cs="Times New Roman"/>
          <w:color w:val="000000"/>
          <w:sz w:val="20"/>
          <w:szCs w:val="20"/>
          <w:shd w:val="clear" w:color="auto" w:fill="FFFFFF"/>
        </w:rPr>
        <w:t>”</w:t>
      </w:r>
    </w:p>
    <w:p w14:paraId="0E1BD99C" w14:textId="77777777" w:rsidR="00D00A31" w:rsidRPr="00647067" w:rsidRDefault="00D00A31" w:rsidP="00647067">
      <w:pPr>
        <w:rPr>
          <w:rFonts w:ascii="Constantia" w:eastAsia="Times New Roman" w:hAnsi="Constantia" w:cs="Times New Roman"/>
          <w:color w:val="000000"/>
          <w:shd w:val="clear" w:color="auto" w:fill="FFFFFF"/>
        </w:rPr>
      </w:pPr>
    </w:p>
    <w:p w14:paraId="43EE7F36" w14:textId="6795CF8A" w:rsidR="00A736DB" w:rsidRPr="00A736DB" w:rsidRDefault="00A736DB" w:rsidP="00A736DB">
      <w:pPr>
        <w:rPr>
          <w:rFonts w:ascii="Times New Roman" w:eastAsia="Times New Roman" w:hAnsi="Times New Roman" w:cs="Times New Roman"/>
        </w:rPr>
      </w:pPr>
      <w:r>
        <w:rPr>
          <w:rFonts w:ascii="Constantia" w:eastAsia="Times New Roman" w:hAnsi="Constantia" w:cs="Times New Roman"/>
          <w:color w:val="000000"/>
          <w:shd w:val="clear" w:color="auto" w:fill="FFFFFF"/>
        </w:rPr>
        <w:tab/>
      </w:r>
    </w:p>
    <w:p w14:paraId="346ACE26" w14:textId="57F04399" w:rsidR="00C006F3" w:rsidRPr="00343D91" w:rsidRDefault="00343D91" w:rsidP="00343D91">
      <w:pPr>
        <w:pStyle w:val="ListParagraph"/>
        <w:numPr>
          <w:ilvl w:val="0"/>
          <w:numId w:val="2"/>
        </w:numPr>
        <w:rPr>
          <w:rFonts w:ascii="Constantia" w:eastAsia="Times New Roman" w:hAnsi="Constantia" w:cs="Times New Roman"/>
          <w:b/>
          <w:bCs/>
        </w:rPr>
      </w:pPr>
      <w:r>
        <w:rPr>
          <w:noProof/>
        </w:rPr>
        <w:lastRenderedPageBreak/>
        <w:drawing>
          <wp:anchor distT="0" distB="0" distL="114300" distR="114300" simplePos="0" relativeHeight="251658240" behindDoc="0" locked="0" layoutInCell="1" allowOverlap="1" wp14:anchorId="06C95BA2" wp14:editId="62CEE501">
            <wp:simplePos x="0" y="0"/>
            <wp:positionH relativeFrom="column">
              <wp:posOffset>2715565</wp:posOffset>
            </wp:positionH>
            <wp:positionV relativeFrom="paragraph">
              <wp:posOffset>0</wp:posOffset>
            </wp:positionV>
            <wp:extent cx="3862070" cy="3333750"/>
            <wp:effectExtent l="12700" t="12700" r="11430" b="1905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62070" cy="3333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006F3" w:rsidRPr="00343D91">
        <w:rPr>
          <w:rFonts w:ascii="Constantia" w:eastAsia="Times New Roman" w:hAnsi="Constantia" w:cs="Times New Roman"/>
          <w:b/>
          <w:bCs/>
        </w:rPr>
        <w:t xml:space="preserve">Says/Does </w:t>
      </w:r>
    </w:p>
    <w:p w14:paraId="7482B775" w14:textId="1CCF4452" w:rsidR="001912FB" w:rsidRPr="00343D91" w:rsidRDefault="001912FB" w:rsidP="001912FB">
      <w:pPr>
        <w:pStyle w:val="ListParagraph"/>
        <w:numPr>
          <w:ilvl w:val="0"/>
          <w:numId w:val="4"/>
        </w:numPr>
        <w:ind w:left="1080" w:hanging="270"/>
        <w:rPr>
          <w:rFonts w:ascii="Constantia" w:eastAsia="Times New Roman" w:hAnsi="Constantia" w:cs="Times New Roman"/>
          <w:i/>
          <w:iCs/>
        </w:rPr>
      </w:pPr>
      <w:r>
        <w:rPr>
          <w:rFonts w:ascii="Constantia" w:eastAsia="Times New Roman" w:hAnsi="Constantia" w:cs="Times New Roman"/>
          <w:i/>
          <w:iCs/>
        </w:rPr>
        <w:t xml:space="preserve">A practice </w:t>
      </w:r>
      <w:r w:rsidR="00C006F3" w:rsidRPr="00F26F6B">
        <w:rPr>
          <w:rFonts w:ascii="Constantia" w:eastAsia="Times New Roman" w:hAnsi="Constantia" w:cs="Times New Roman"/>
          <w:i/>
          <w:iCs/>
        </w:rPr>
        <w:t>that helps reade</w:t>
      </w:r>
      <w:r>
        <w:rPr>
          <w:rFonts w:ascii="Constantia" w:eastAsia="Times New Roman" w:hAnsi="Constantia" w:cs="Times New Roman"/>
          <w:i/>
          <w:iCs/>
        </w:rPr>
        <w:t>r-</w:t>
      </w:r>
      <w:r w:rsidR="00C006F3" w:rsidRPr="00F26F6B">
        <w:rPr>
          <w:rFonts w:ascii="Constantia" w:eastAsia="Times New Roman" w:hAnsi="Constantia" w:cs="Times New Roman"/>
          <w:i/>
          <w:iCs/>
        </w:rPr>
        <w:t xml:space="preserve">writers discern between content and </w:t>
      </w:r>
      <w:proofErr w:type="spellStart"/>
      <w:r w:rsidR="00C006F3" w:rsidRPr="00F26F6B">
        <w:rPr>
          <w:rFonts w:ascii="Constantia" w:eastAsia="Times New Roman" w:hAnsi="Constantia" w:cs="Times New Roman"/>
          <w:i/>
          <w:iCs/>
        </w:rPr>
        <w:t>constructedness</w:t>
      </w:r>
      <w:proofErr w:type="spellEnd"/>
      <w:r w:rsidR="00C006F3" w:rsidRPr="00F26F6B">
        <w:rPr>
          <w:rFonts w:ascii="Constantia" w:eastAsia="Times New Roman" w:hAnsi="Constantia" w:cs="Times New Roman"/>
          <w:i/>
          <w:iCs/>
        </w:rPr>
        <w:t xml:space="preserve">/craft, or what a text </w:t>
      </w:r>
      <w:r w:rsidR="00C006F3" w:rsidRPr="001912FB">
        <w:rPr>
          <w:rFonts w:ascii="Constantia" w:eastAsia="Times New Roman" w:hAnsi="Constantia" w:cs="Times New Roman"/>
        </w:rPr>
        <w:t>says</w:t>
      </w:r>
      <w:r w:rsidR="00C006F3" w:rsidRPr="00F26F6B">
        <w:rPr>
          <w:rFonts w:ascii="Constantia" w:eastAsia="Times New Roman" w:hAnsi="Constantia" w:cs="Times New Roman"/>
          <w:i/>
          <w:iCs/>
        </w:rPr>
        <w:t xml:space="preserve"> and </w:t>
      </w:r>
      <w:r w:rsidR="00C006F3" w:rsidRPr="001912FB">
        <w:rPr>
          <w:rFonts w:ascii="Constantia" w:eastAsia="Times New Roman" w:hAnsi="Constantia" w:cs="Times New Roman"/>
        </w:rPr>
        <w:t>how</w:t>
      </w:r>
      <w:r w:rsidR="00C006F3" w:rsidRPr="00F26F6B">
        <w:rPr>
          <w:rFonts w:ascii="Constantia" w:eastAsia="Times New Roman" w:hAnsi="Constantia" w:cs="Times New Roman"/>
          <w:i/>
          <w:iCs/>
        </w:rPr>
        <w:t xml:space="preserve"> it chooses to say it</w:t>
      </w:r>
    </w:p>
    <w:p w14:paraId="715E5A4F" w14:textId="77777777" w:rsidR="001912FB" w:rsidRDefault="009D4CDD" w:rsidP="002867AF">
      <w:pPr>
        <w:pStyle w:val="ListParagraph"/>
        <w:numPr>
          <w:ilvl w:val="0"/>
          <w:numId w:val="6"/>
        </w:numPr>
        <w:ind w:left="1530"/>
        <w:rPr>
          <w:rFonts w:ascii="Constantia" w:eastAsia="Times New Roman" w:hAnsi="Constantia" w:cs="Times New Roman"/>
        </w:rPr>
      </w:pPr>
      <w:hyperlink r:id="rId10" w:history="1">
        <w:r w:rsidR="001912FB" w:rsidRPr="001912FB">
          <w:rPr>
            <w:rStyle w:val="Hyperlink"/>
            <w:rFonts w:ascii="Constantia" w:eastAsia="Times New Roman" w:hAnsi="Constantia" w:cs="Times New Roman"/>
            <w:i/>
            <w:iCs/>
          </w:rPr>
          <w:t>What it Says/What it Does</w:t>
        </w:r>
      </w:hyperlink>
      <w:r w:rsidR="001912FB" w:rsidRPr="001912FB">
        <w:rPr>
          <w:rFonts w:ascii="Constantia" w:eastAsia="Times New Roman" w:hAnsi="Constantia" w:cs="Times New Roman"/>
        </w:rPr>
        <w:t xml:space="preserve"> Chart and Instructions</w:t>
      </w:r>
    </w:p>
    <w:p w14:paraId="0BB57793" w14:textId="63E29917" w:rsidR="00C006F3" w:rsidRDefault="00C006F3" w:rsidP="002867AF">
      <w:pPr>
        <w:pStyle w:val="ListParagraph"/>
        <w:numPr>
          <w:ilvl w:val="0"/>
          <w:numId w:val="6"/>
        </w:numPr>
        <w:ind w:left="1530"/>
        <w:rPr>
          <w:rFonts w:ascii="Constantia" w:eastAsia="Times New Roman" w:hAnsi="Constantia" w:cs="Times New Roman"/>
        </w:rPr>
      </w:pPr>
      <w:r w:rsidRPr="001912FB">
        <w:rPr>
          <w:rFonts w:ascii="Constantia" w:eastAsia="Times New Roman" w:hAnsi="Constantia" w:cs="Times New Roman"/>
          <w:i/>
          <w:iCs/>
        </w:rPr>
        <w:t>Variation</w:t>
      </w:r>
      <w:r w:rsidRPr="001912FB">
        <w:rPr>
          <w:rFonts w:ascii="Constantia" w:eastAsia="Times New Roman" w:hAnsi="Constantia" w:cs="Times New Roman"/>
        </w:rPr>
        <w:t xml:space="preserve">: </w:t>
      </w:r>
      <w:hyperlink r:id="rId11" w:history="1">
        <w:r w:rsidRPr="001912FB">
          <w:rPr>
            <w:rStyle w:val="Hyperlink"/>
            <w:rFonts w:ascii="Constantia" w:eastAsia="Times New Roman" w:hAnsi="Constantia" w:cs="Times New Roman"/>
          </w:rPr>
          <w:t>Says/Does/Because</w:t>
        </w:r>
      </w:hyperlink>
    </w:p>
    <w:p w14:paraId="4059509F" w14:textId="2B825382" w:rsidR="00343D91" w:rsidRPr="00343D91" w:rsidRDefault="00343D91" w:rsidP="00343D91">
      <w:pPr>
        <w:ind w:left="1440"/>
        <w:rPr>
          <w:rFonts w:ascii="Constantia" w:eastAsia="Times New Roman" w:hAnsi="Constantia" w:cs="Times New Roman"/>
        </w:rPr>
      </w:pPr>
    </w:p>
    <w:p w14:paraId="57229101" w14:textId="7A0909C5" w:rsidR="00016F52" w:rsidRPr="00001C0A" w:rsidRDefault="00C006F3" w:rsidP="00001C0A">
      <w:pPr>
        <w:rPr>
          <w:rFonts w:ascii="Constantia" w:eastAsia="Times New Roman" w:hAnsi="Constantia" w:cs="Times New Roman"/>
          <w:sz w:val="20"/>
          <w:szCs w:val="20"/>
        </w:rPr>
      </w:pPr>
      <w:r>
        <w:rPr>
          <w:rFonts w:ascii="Constantia" w:eastAsia="Times New Roman" w:hAnsi="Constantia" w:cs="Times New Roman"/>
          <w:sz w:val="20"/>
          <w:szCs w:val="20"/>
        </w:rPr>
        <w:tab/>
      </w:r>
      <w:r>
        <w:rPr>
          <w:rFonts w:ascii="Constantia" w:eastAsia="Times New Roman" w:hAnsi="Constantia" w:cs="Times New Roman"/>
          <w:sz w:val="20"/>
          <w:szCs w:val="20"/>
        </w:rPr>
        <w:tab/>
      </w:r>
      <w:r w:rsidR="00016F52" w:rsidRPr="00016F52">
        <w:rPr>
          <w:rFonts w:ascii="Constantia" w:hAnsi="Constantia"/>
        </w:rPr>
        <w:t xml:space="preserve"> </w:t>
      </w:r>
    </w:p>
    <w:p w14:paraId="06F03DC6" w14:textId="6041E6B4" w:rsidR="00F26F6B" w:rsidRDefault="00F26F6B" w:rsidP="00F26F6B">
      <w:pPr>
        <w:rPr>
          <w:rFonts w:ascii="Constantia" w:hAnsi="Constantia"/>
          <w:b/>
          <w:bCs/>
        </w:rPr>
      </w:pPr>
    </w:p>
    <w:p w14:paraId="5B3C6580" w14:textId="1975D163" w:rsidR="00343D91" w:rsidRDefault="00343D91" w:rsidP="00F26F6B">
      <w:pPr>
        <w:rPr>
          <w:rFonts w:ascii="Constantia" w:hAnsi="Constantia"/>
          <w:b/>
          <w:bCs/>
        </w:rPr>
      </w:pPr>
    </w:p>
    <w:p w14:paraId="57EE9503" w14:textId="76D769F4" w:rsidR="00843E05" w:rsidRDefault="00843E05" w:rsidP="00F26F6B">
      <w:pPr>
        <w:rPr>
          <w:rFonts w:ascii="Constantia" w:hAnsi="Constantia"/>
          <w:b/>
          <w:bCs/>
        </w:rPr>
      </w:pPr>
    </w:p>
    <w:p w14:paraId="4108BBFD" w14:textId="0720A69D" w:rsidR="00843E05" w:rsidRDefault="00843E05" w:rsidP="00F26F6B">
      <w:pPr>
        <w:rPr>
          <w:rFonts w:ascii="Constantia" w:hAnsi="Constantia"/>
          <w:b/>
          <w:bCs/>
        </w:rPr>
      </w:pPr>
    </w:p>
    <w:p w14:paraId="0AA49660" w14:textId="77777777" w:rsidR="00843E05" w:rsidRDefault="00843E05" w:rsidP="00F26F6B">
      <w:pPr>
        <w:rPr>
          <w:rFonts w:ascii="Constantia" w:hAnsi="Constantia"/>
          <w:b/>
          <w:bCs/>
        </w:rPr>
      </w:pPr>
    </w:p>
    <w:p w14:paraId="3F27608B" w14:textId="3032BE71" w:rsidR="00F26F6B" w:rsidRPr="00C50DDD" w:rsidRDefault="00F26F6B" w:rsidP="00C50DDD">
      <w:pPr>
        <w:rPr>
          <w:rFonts w:ascii="Constantia" w:hAnsi="Constantia"/>
          <w:b/>
          <w:bCs/>
        </w:rPr>
      </w:pPr>
      <w:r w:rsidRPr="00C50DDD">
        <w:rPr>
          <w:rFonts w:ascii="Constantia" w:hAnsi="Constantia"/>
          <w:b/>
          <w:bCs/>
        </w:rPr>
        <w:t xml:space="preserve">Assumptions: </w:t>
      </w:r>
    </w:p>
    <w:p w14:paraId="185E0AA1" w14:textId="1ACC47EA" w:rsidR="00F26F6B" w:rsidRPr="00F26F6B" w:rsidRDefault="00F26F6B" w:rsidP="00C50DDD">
      <w:pPr>
        <w:numPr>
          <w:ilvl w:val="0"/>
          <w:numId w:val="5"/>
        </w:numPr>
        <w:shd w:val="clear" w:color="auto" w:fill="FFFFFF"/>
        <w:rPr>
          <w:rFonts w:ascii="Constantia" w:eastAsia="Times New Roman" w:hAnsi="Constantia" w:cs="Times New Roman"/>
          <w:color w:val="000000"/>
        </w:rPr>
      </w:pPr>
      <w:r w:rsidRPr="00C50DDD">
        <w:rPr>
          <w:rFonts w:ascii="Constantia" w:eastAsia="Times New Roman" w:hAnsi="Constantia" w:cs="Times New Roman"/>
          <w:color w:val="000000"/>
        </w:rPr>
        <w:t xml:space="preserve">Approaching text </w:t>
      </w:r>
      <w:r w:rsidRPr="00C50DDD">
        <w:rPr>
          <w:rFonts w:ascii="Constantia" w:eastAsia="Times New Roman" w:hAnsi="Constantia" w:cs="Times New Roman"/>
          <w:i/>
          <w:iCs/>
          <w:color w:val="000000"/>
        </w:rPr>
        <w:t>rhetorically</w:t>
      </w:r>
      <w:r w:rsidRPr="00F26F6B">
        <w:rPr>
          <w:rFonts w:ascii="Constantia" w:eastAsia="Times New Roman" w:hAnsi="Constantia" w:cs="Times New Roman"/>
          <w:i/>
          <w:iCs/>
          <w:color w:val="000000"/>
        </w:rPr>
        <w:t xml:space="preserve"> </w:t>
      </w:r>
      <w:r w:rsidR="00F37E59">
        <w:rPr>
          <w:rFonts w:ascii="Constantia" w:eastAsia="Times New Roman" w:hAnsi="Constantia" w:cs="Times New Roman"/>
          <w:color w:val="000000"/>
        </w:rPr>
        <w:t>=</w:t>
      </w:r>
      <w:r w:rsidRPr="00F26F6B">
        <w:rPr>
          <w:rFonts w:ascii="Constantia" w:eastAsia="Times New Roman" w:hAnsi="Constantia" w:cs="Times New Roman"/>
          <w:i/>
          <w:iCs/>
          <w:color w:val="000000"/>
        </w:rPr>
        <w:t xml:space="preserve"> purposeful, situated</w:t>
      </w:r>
      <w:r w:rsidRPr="00C50DDD">
        <w:rPr>
          <w:rFonts w:ascii="Constantia" w:eastAsia="Times New Roman" w:hAnsi="Constantia" w:cs="Times New Roman"/>
          <w:i/>
          <w:iCs/>
          <w:color w:val="000000"/>
        </w:rPr>
        <w:t xml:space="preserve">, </w:t>
      </w:r>
      <w:r w:rsidRPr="00F26F6B">
        <w:rPr>
          <w:rFonts w:ascii="Constantia" w:eastAsia="Times New Roman" w:hAnsi="Constantia" w:cs="Times New Roman"/>
          <w:i/>
          <w:iCs/>
          <w:color w:val="000000"/>
        </w:rPr>
        <w:t>constructed</w:t>
      </w:r>
    </w:p>
    <w:p w14:paraId="6ACA889E" w14:textId="3C41507B" w:rsidR="00F26F6B" w:rsidRPr="00C50DDD" w:rsidRDefault="00F26F6B" w:rsidP="00C50DDD">
      <w:pPr>
        <w:numPr>
          <w:ilvl w:val="0"/>
          <w:numId w:val="5"/>
        </w:numPr>
        <w:shd w:val="clear" w:color="auto" w:fill="FFFFFF"/>
        <w:rPr>
          <w:rFonts w:ascii="Constantia" w:eastAsia="Times New Roman" w:hAnsi="Constantia" w:cs="Times New Roman"/>
          <w:color w:val="000000"/>
        </w:rPr>
      </w:pPr>
      <w:r w:rsidRPr="00C50DDD">
        <w:rPr>
          <w:rFonts w:ascii="Constantia" w:eastAsia="Times New Roman" w:hAnsi="Constantia" w:cs="Times New Roman"/>
          <w:color w:val="000000"/>
        </w:rPr>
        <w:t>Question of</w:t>
      </w:r>
      <w:r w:rsidRPr="00F26F6B">
        <w:rPr>
          <w:rFonts w:ascii="Constantia" w:eastAsia="Times New Roman" w:hAnsi="Constantia" w:cs="Times New Roman"/>
          <w:color w:val="000000"/>
        </w:rPr>
        <w:t xml:space="preserve"> genre</w:t>
      </w:r>
      <w:r w:rsidR="00224DBB">
        <w:rPr>
          <w:rFonts w:ascii="Constantia" w:eastAsia="Times New Roman" w:hAnsi="Constantia" w:cs="Times New Roman"/>
          <w:color w:val="000000"/>
        </w:rPr>
        <w:t>/</w:t>
      </w:r>
      <w:r w:rsidRPr="00F26F6B">
        <w:rPr>
          <w:rFonts w:ascii="Constantia" w:eastAsia="Times New Roman" w:hAnsi="Constantia" w:cs="Times New Roman"/>
          <w:color w:val="000000"/>
        </w:rPr>
        <w:t>mode</w:t>
      </w:r>
      <w:r w:rsidRPr="00C50DDD">
        <w:rPr>
          <w:rFonts w:ascii="Constantia" w:eastAsia="Times New Roman" w:hAnsi="Constantia" w:cs="Times New Roman"/>
          <w:color w:val="000000"/>
        </w:rPr>
        <w:t>—</w:t>
      </w:r>
      <w:r w:rsidRPr="00F26F6B">
        <w:rPr>
          <w:rFonts w:ascii="Constantia" w:eastAsia="Times New Roman" w:hAnsi="Constantia" w:cs="Times New Roman"/>
          <w:color w:val="000000"/>
        </w:rPr>
        <w:t>aesthetic /</w:t>
      </w:r>
      <w:r w:rsidRPr="00C50DDD">
        <w:rPr>
          <w:rFonts w:ascii="Constantia" w:eastAsia="Times New Roman" w:hAnsi="Constantia" w:cs="Times New Roman"/>
          <w:color w:val="000000"/>
        </w:rPr>
        <w:t xml:space="preserve"> </w:t>
      </w:r>
      <w:r w:rsidRPr="00F26F6B">
        <w:rPr>
          <w:rFonts w:ascii="Constantia" w:eastAsia="Times New Roman" w:hAnsi="Constantia" w:cs="Times New Roman"/>
          <w:color w:val="000000"/>
        </w:rPr>
        <w:t>rhetoric</w:t>
      </w:r>
    </w:p>
    <w:p w14:paraId="1DEA6C75" w14:textId="6A8B53DD" w:rsidR="00DA573F" w:rsidRPr="00C50DDD" w:rsidRDefault="00F26F6B" w:rsidP="00A3068B">
      <w:pPr>
        <w:numPr>
          <w:ilvl w:val="1"/>
          <w:numId w:val="5"/>
        </w:numPr>
        <w:shd w:val="clear" w:color="auto" w:fill="FFFFFF"/>
        <w:spacing w:before="100" w:beforeAutospacing="1" w:after="100" w:afterAutospacing="1"/>
        <w:rPr>
          <w:rFonts w:ascii="Constantia" w:hAnsi="Constantia"/>
          <w:b/>
          <w:bCs/>
        </w:rPr>
      </w:pPr>
      <w:r w:rsidRPr="00C50DDD">
        <w:rPr>
          <w:rFonts w:ascii="Constantia" w:eastAsia="Times New Roman" w:hAnsi="Constantia" w:cs="Times New Roman"/>
          <w:color w:val="000000"/>
        </w:rPr>
        <w:t xml:space="preserve">Is a poem rhetorical like a letter to the editor </w:t>
      </w:r>
      <w:r w:rsidR="00F5559E">
        <w:rPr>
          <w:rFonts w:ascii="Constantia" w:eastAsia="Times New Roman" w:hAnsi="Constantia" w:cs="Times New Roman"/>
          <w:color w:val="000000"/>
        </w:rPr>
        <w:t xml:space="preserve">or a </w:t>
      </w:r>
      <w:proofErr w:type="gramStart"/>
      <w:r w:rsidR="00407C21">
        <w:rPr>
          <w:rFonts w:ascii="Constantia" w:eastAsia="Times New Roman" w:hAnsi="Constantia" w:cs="Times New Roman"/>
          <w:color w:val="000000"/>
        </w:rPr>
        <w:t>101 synthesis</w:t>
      </w:r>
      <w:proofErr w:type="gramEnd"/>
      <w:r w:rsidR="00407C21">
        <w:rPr>
          <w:rFonts w:ascii="Constantia" w:eastAsia="Times New Roman" w:hAnsi="Constantia" w:cs="Times New Roman"/>
          <w:color w:val="000000"/>
        </w:rPr>
        <w:t xml:space="preserve"> essay</w:t>
      </w:r>
      <w:r w:rsidRPr="00C50DDD">
        <w:rPr>
          <w:rFonts w:ascii="Constantia" w:eastAsia="Times New Roman" w:hAnsi="Constantia" w:cs="Times New Roman"/>
          <w:color w:val="000000"/>
        </w:rPr>
        <w:t xml:space="preserve">? </w:t>
      </w:r>
      <w:r w:rsidR="00A95AC2">
        <w:rPr>
          <w:rFonts w:ascii="Constantia" w:eastAsia="Times New Roman" w:hAnsi="Constantia" w:cs="Times New Roman"/>
          <w:color w:val="000000"/>
        </w:rPr>
        <w:t>N</w:t>
      </w:r>
      <w:r w:rsidRPr="00C50DDD">
        <w:rPr>
          <w:rFonts w:ascii="Constantia" w:eastAsia="Times New Roman" w:hAnsi="Constantia" w:cs="Times New Roman"/>
          <w:color w:val="000000"/>
        </w:rPr>
        <w:t xml:space="preserve">o. But! </w:t>
      </w:r>
      <w:r w:rsidR="00A95AC2">
        <w:rPr>
          <w:rFonts w:ascii="Constantia" w:eastAsia="Times New Roman" w:hAnsi="Constantia" w:cs="Times New Roman"/>
          <w:color w:val="000000"/>
        </w:rPr>
        <w:t>E</w:t>
      </w:r>
      <w:r w:rsidR="00407C21">
        <w:rPr>
          <w:rFonts w:ascii="Constantia" w:eastAsia="Times New Roman" w:hAnsi="Constantia" w:cs="Times New Roman"/>
          <w:color w:val="000000"/>
        </w:rPr>
        <w:t>ach is</w:t>
      </w:r>
      <w:r w:rsidR="00A95AC2">
        <w:rPr>
          <w:rFonts w:ascii="Constantia" w:eastAsia="Times New Roman" w:hAnsi="Constantia" w:cs="Times New Roman"/>
          <w:color w:val="000000"/>
        </w:rPr>
        <w:t xml:space="preserve"> in different ways</w:t>
      </w:r>
      <w:r w:rsidRPr="00C50DDD">
        <w:rPr>
          <w:rFonts w:ascii="Constantia" w:eastAsia="Times New Roman" w:hAnsi="Constantia" w:cs="Times New Roman"/>
          <w:color w:val="000000"/>
        </w:rPr>
        <w:t xml:space="preserve"> </w:t>
      </w:r>
      <w:r w:rsidRPr="001912FB">
        <w:rPr>
          <w:rFonts w:ascii="Constantia" w:eastAsia="Times New Roman" w:hAnsi="Constantia" w:cs="Times New Roman"/>
          <w:i/>
          <w:iCs/>
          <w:color w:val="000000"/>
        </w:rPr>
        <w:t>purposeful/motivated, situated, constructed</w:t>
      </w:r>
      <w:r w:rsidR="00407C21">
        <w:rPr>
          <w:rFonts w:ascii="Constantia" w:eastAsia="Times New Roman" w:hAnsi="Constantia" w:cs="Times New Roman"/>
          <w:color w:val="000000"/>
        </w:rPr>
        <w:t xml:space="preserve"> </w:t>
      </w:r>
    </w:p>
    <w:p w14:paraId="25C0B411" w14:textId="4920B1AF" w:rsidR="00F26F6B" w:rsidRPr="00C50DDD" w:rsidRDefault="00F26F6B" w:rsidP="00DA573F">
      <w:pPr>
        <w:numPr>
          <w:ilvl w:val="2"/>
          <w:numId w:val="5"/>
        </w:numPr>
        <w:shd w:val="clear" w:color="auto" w:fill="FFFFFF"/>
        <w:spacing w:before="100" w:beforeAutospacing="1" w:after="100" w:afterAutospacing="1"/>
        <w:rPr>
          <w:rFonts w:ascii="Constantia" w:hAnsi="Constantia"/>
          <w:b/>
          <w:bCs/>
          <w:sz w:val="20"/>
          <w:szCs w:val="20"/>
        </w:rPr>
      </w:pPr>
      <w:r w:rsidRPr="00C50DDD">
        <w:rPr>
          <w:rFonts w:ascii="Constantia" w:eastAsia="Times New Roman" w:hAnsi="Constantia" w:cs="Times New Roman"/>
          <w:color w:val="000000"/>
          <w:sz w:val="20"/>
          <w:szCs w:val="20"/>
        </w:rPr>
        <w:t xml:space="preserve">Mentor text methods typically emphasize mentors in the same genre; however, there are things a poem can teach us relevant to craft in a persuasive </w:t>
      </w:r>
      <w:r w:rsidR="001912FB">
        <w:rPr>
          <w:rFonts w:ascii="Constantia" w:eastAsia="Times New Roman" w:hAnsi="Constantia" w:cs="Times New Roman"/>
          <w:color w:val="000000"/>
          <w:sz w:val="20"/>
          <w:szCs w:val="20"/>
        </w:rPr>
        <w:t xml:space="preserve">or academic </w:t>
      </w:r>
      <w:r w:rsidRPr="00C50DDD">
        <w:rPr>
          <w:rFonts w:ascii="Constantia" w:eastAsia="Times New Roman" w:hAnsi="Constantia" w:cs="Times New Roman"/>
          <w:color w:val="000000"/>
          <w:sz w:val="20"/>
          <w:szCs w:val="20"/>
        </w:rPr>
        <w:t>genre</w:t>
      </w:r>
    </w:p>
    <w:p w14:paraId="26128DA0" w14:textId="3B8B0044" w:rsidR="00DA573F" w:rsidRPr="00C50DDD" w:rsidRDefault="00DA573F" w:rsidP="00DA573F">
      <w:pPr>
        <w:numPr>
          <w:ilvl w:val="2"/>
          <w:numId w:val="5"/>
        </w:numPr>
        <w:shd w:val="clear" w:color="auto" w:fill="FFFFFF"/>
        <w:spacing w:before="100" w:beforeAutospacing="1" w:after="100" w:afterAutospacing="1"/>
        <w:rPr>
          <w:rFonts w:ascii="Constantia" w:hAnsi="Constantia"/>
          <w:b/>
          <w:bCs/>
          <w:sz w:val="20"/>
          <w:szCs w:val="20"/>
        </w:rPr>
      </w:pPr>
      <w:r w:rsidRPr="00C50DDD">
        <w:rPr>
          <w:rFonts w:ascii="Constantia" w:eastAsia="Times New Roman" w:hAnsi="Constantia" w:cs="Times New Roman"/>
          <w:color w:val="000000"/>
          <w:sz w:val="20"/>
          <w:szCs w:val="20"/>
        </w:rPr>
        <w:t>Crossing genre boundaries too demonstrates the elusiveness of intentionality and textual control</w:t>
      </w:r>
      <w:r w:rsidR="00C50DDD">
        <w:rPr>
          <w:rFonts w:ascii="Constantia" w:eastAsia="Times New Roman" w:hAnsi="Constantia" w:cs="Times New Roman"/>
          <w:color w:val="000000"/>
          <w:sz w:val="20"/>
          <w:szCs w:val="20"/>
        </w:rPr>
        <w:t>, the interpretive wiggle of choice and effect</w:t>
      </w:r>
    </w:p>
    <w:sectPr w:rsidR="00DA573F" w:rsidRPr="00C50DDD" w:rsidSect="00ED4AC1">
      <w:pgSz w:w="12240" w:h="15840"/>
      <w:pgMar w:top="1008" w:right="1008" w:bottom="1008" w:left="1008"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5ABF"/>
    <w:multiLevelType w:val="hybridMultilevel"/>
    <w:tmpl w:val="02DE5E70"/>
    <w:lvl w:ilvl="0" w:tplc="F5263C0C">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1" w15:restartNumberingAfterBreak="0">
    <w:nsid w:val="217122CB"/>
    <w:multiLevelType w:val="hybridMultilevel"/>
    <w:tmpl w:val="0B226A6E"/>
    <w:lvl w:ilvl="0" w:tplc="F5263C0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DC66F8F"/>
    <w:multiLevelType w:val="multilevel"/>
    <w:tmpl w:val="8A9E32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FA198B"/>
    <w:multiLevelType w:val="hybridMultilevel"/>
    <w:tmpl w:val="A4DE7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3074C"/>
    <w:multiLevelType w:val="hybridMultilevel"/>
    <w:tmpl w:val="6270B9A2"/>
    <w:lvl w:ilvl="0" w:tplc="F5263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2605F"/>
    <w:multiLevelType w:val="hybridMultilevel"/>
    <w:tmpl w:val="CC72DD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7"/>
    <w:rsid w:val="00001C0A"/>
    <w:rsid w:val="00016F52"/>
    <w:rsid w:val="000556E4"/>
    <w:rsid w:val="001912FB"/>
    <w:rsid w:val="00191C4C"/>
    <w:rsid w:val="00224DBB"/>
    <w:rsid w:val="002867AF"/>
    <w:rsid w:val="00343D91"/>
    <w:rsid w:val="00407C21"/>
    <w:rsid w:val="004A482A"/>
    <w:rsid w:val="004F7D18"/>
    <w:rsid w:val="005F7A26"/>
    <w:rsid w:val="00647067"/>
    <w:rsid w:val="006B1E93"/>
    <w:rsid w:val="007225A0"/>
    <w:rsid w:val="00736190"/>
    <w:rsid w:val="00743DEC"/>
    <w:rsid w:val="007E14A0"/>
    <w:rsid w:val="00843E05"/>
    <w:rsid w:val="0093589C"/>
    <w:rsid w:val="009650F3"/>
    <w:rsid w:val="009D4CDD"/>
    <w:rsid w:val="00A058BC"/>
    <w:rsid w:val="00A24752"/>
    <w:rsid w:val="00A736DB"/>
    <w:rsid w:val="00A95AC2"/>
    <w:rsid w:val="00C006F3"/>
    <w:rsid w:val="00C50DDD"/>
    <w:rsid w:val="00CE024B"/>
    <w:rsid w:val="00CF5238"/>
    <w:rsid w:val="00D00A31"/>
    <w:rsid w:val="00D47595"/>
    <w:rsid w:val="00D675A7"/>
    <w:rsid w:val="00DA573F"/>
    <w:rsid w:val="00ED4AC1"/>
    <w:rsid w:val="00EF2E6E"/>
    <w:rsid w:val="00F26F6B"/>
    <w:rsid w:val="00F37E59"/>
    <w:rsid w:val="00F5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6C71"/>
  <w15:chartTrackingRefBased/>
  <w15:docId w15:val="{E356A64F-108B-0A43-BBF7-E935F9C8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67"/>
    <w:pPr>
      <w:ind w:left="720"/>
      <w:contextualSpacing/>
    </w:pPr>
  </w:style>
  <w:style w:type="character" w:styleId="Hyperlink">
    <w:name w:val="Hyperlink"/>
    <w:basedOn w:val="DefaultParagraphFont"/>
    <w:uiPriority w:val="99"/>
    <w:unhideWhenUsed/>
    <w:rsid w:val="00001C0A"/>
    <w:rPr>
      <w:color w:val="0563C1" w:themeColor="hyperlink"/>
      <w:u w:val="single"/>
    </w:rPr>
  </w:style>
  <w:style w:type="character" w:styleId="UnresolvedMention">
    <w:name w:val="Unresolved Mention"/>
    <w:basedOn w:val="DefaultParagraphFont"/>
    <w:uiPriority w:val="99"/>
    <w:semiHidden/>
    <w:unhideWhenUsed/>
    <w:rsid w:val="0000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250571">
      <w:bodyDiv w:val="1"/>
      <w:marLeft w:val="0"/>
      <w:marRight w:val="0"/>
      <w:marTop w:val="0"/>
      <w:marBottom w:val="0"/>
      <w:divBdr>
        <w:top w:val="none" w:sz="0" w:space="0" w:color="auto"/>
        <w:left w:val="none" w:sz="0" w:space="0" w:color="auto"/>
        <w:bottom w:val="none" w:sz="0" w:space="0" w:color="auto"/>
        <w:right w:val="none" w:sz="0" w:space="0" w:color="auto"/>
      </w:divBdr>
    </w:div>
    <w:div w:id="2019651150">
      <w:bodyDiv w:val="1"/>
      <w:marLeft w:val="0"/>
      <w:marRight w:val="0"/>
      <w:marTop w:val="0"/>
      <w:marBottom w:val="0"/>
      <w:divBdr>
        <w:top w:val="none" w:sz="0" w:space="0" w:color="auto"/>
        <w:left w:val="none" w:sz="0" w:space="0" w:color="auto"/>
        <w:bottom w:val="none" w:sz="0" w:space="0" w:color="auto"/>
        <w:right w:val="none" w:sz="0" w:space="0" w:color="auto"/>
      </w:divBdr>
    </w:div>
    <w:div w:id="2042627282">
      <w:bodyDiv w:val="1"/>
      <w:marLeft w:val="0"/>
      <w:marRight w:val="0"/>
      <w:marTop w:val="0"/>
      <w:marBottom w:val="0"/>
      <w:divBdr>
        <w:top w:val="none" w:sz="0" w:space="0" w:color="auto"/>
        <w:left w:val="none" w:sz="0" w:space="0" w:color="auto"/>
        <w:bottom w:val="none" w:sz="0" w:space="0" w:color="auto"/>
        <w:right w:val="none" w:sz="0" w:space="0" w:color="auto"/>
      </w:divBdr>
    </w:div>
    <w:div w:id="20572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9/04/learning/introducing-nyt-mentor-tex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c.colostate.edu/docs/books/writingspaces2/bunn--how-to-rea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ropymag.org/my-fathers-english-changing-language-changing-class-by-mindy-haskins-rogers/" TargetMode="External"/><Relationship Id="rId11" Type="http://schemas.openxmlformats.org/officeDocument/2006/relationships/hyperlink" Target="http://englishwithbrandel.weebly.com/uploads/8/6/1/4/86146148/saysdoesbecauseinfo.pdf" TargetMode="External"/><Relationship Id="rId5" Type="http://schemas.openxmlformats.org/officeDocument/2006/relationships/hyperlink" Target="https://www.kent.edu/ctl/think-pair-share" TargetMode="External"/><Relationship Id="rId10" Type="http://schemas.openxmlformats.org/officeDocument/2006/relationships/hyperlink" Target="https://courses.lumenlearning.com/suny-esc-introtocollegereadingandwriting/chapter/what-it-says-what-it-doe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Hannah</dc:creator>
  <cp:keywords/>
  <dc:description/>
  <cp:lastModifiedBy>Rule, Hannah</cp:lastModifiedBy>
  <cp:revision>24</cp:revision>
  <dcterms:created xsi:type="dcterms:W3CDTF">2021-08-12T13:38:00Z</dcterms:created>
  <dcterms:modified xsi:type="dcterms:W3CDTF">2021-08-12T14:40:00Z</dcterms:modified>
</cp:coreProperties>
</file>